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74" w:rsidRPr="00B376B5" w:rsidRDefault="00B376B5">
      <w:pPr>
        <w:rPr>
          <w:rFonts w:eastAsia="Times New Roman" w:cs="Times New Roman"/>
          <w:b/>
          <w:sz w:val="28"/>
          <w:szCs w:val="28"/>
          <w:lang w:eastAsia="fr-FR"/>
        </w:rPr>
      </w:pPr>
      <w:r w:rsidRPr="00B376B5">
        <w:rPr>
          <w:rFonts w:eastAsia="Times New Roman" w:cs="Times New Roman"/>
          <w:b/>
          <w:sz w:val="28"/>
          <w:szCs w:val="28"/>
          <w:lang w:eastAsia="fr-FR"/>
        </w:rPr>
        <w:t>P</w:t>
      </w:r>
      <w:r>
        <w:rPr>
          <w:rFonts w:eastAsia="Times New Roman" w:cs="Times New Roman"/>
          <w:b/>
          <w:sz w:val="28"/>
          <w:szCs w:val="28"/>
          <w:lang w:eastAsia="fr-FR"/>
        </w:rPr>
        <w:t>orte-parole, militants et mobilisations</w:t>
      </w:r>
    </w:p>
    <w:p w:rsidR="003003BE" w:rsidRPr="00B376B5" w:rsidRDefault="003003BE">
      <w:pPr>
        <w:rPr>
          <w:rFonts w:eastAsia="Times New Roman" w:cs="Times New Roman"/>
          <w:b/>
          <w:sz w:val="28"/>
          <w:szCs w:val="28"/>
          <w:lang w:eastAsia="fr-FR"/>
        </w:rPr>
      </w:pPr>
    </w:p>
    <w:p w:rsidR="003003BE" w:rsidRDefault="003003BE">
      <w:pPr>
        <w:rPr>
          <w:rStyle w:val="gwt-inlinelabel"/>
        </w:rPr>
      </w:pPr>
      <w:r w:rsidRPr="003003BE">
        <w:rPr>
          <w:rFonts w:eastAsia="Times New Roman" w:cs="Times New Roman"/>
          <w:b/>
          <w:sz w:val="28"/>
          <w:szCs w:val="28"/>
          <w:lang w:eastAsia="fr-FR"/>
        </w:rPr>
        <w:t xml:space="preserve">Editeur : </w:t>
      </w:r>
      <w:proofErr w:type="spellStart"/>
      <w:r w:rsidR="00B376B5">
        <w:rPr>
          <w:rStyle w:val="gwt-inlinelabel"/>
        </w:rPr>
        <w:t>Agone</w:t>
      </w:r>
      <w:proofErr w:type="spellEnd"/>
      <w:r w:rsidR="00B376B5">
        <w:rPr>
          <w:rStyle w:val="gwt-inlinelabel"/>
        </w:rPr>
        <w:t xml:space="preserve"> Editeur,</w:t>
      </w:r>
      <w:r w:rsidR="00B376B5">
        <w:t xml:space="preserve"> </w:t>
      </w:r>
      <w:r w:rsidR="00B376B5">
        <w:rPr>
          <w:rStyle w:val="gwt-inlinelabel"/>
        </w:rPr>
        <w:t>Marseille</w:t>
      </w:r>
      <w:r w:rsidR="00B376B5">
        <w:t xml:space="preserve"> </w:t>
      </w:r>
      <w:r w:rsidR="00B376B5">
        <w:rPr>
          <w:rStyle w:val="gwt-inlinelabel"/>
        </w:rPr>
        <w:t>(France)</w:t>
      </w:r>
      <w:r w:rsidR="00B376B5">
        <w:rPr>
          <w:rStyle w:val="gwt-inlinelabel"/>
        </w:rPr>
        <w:t xml:space="preserve">  </w:t>
      </w:r>
      <w:hyperlink r:id="rId4" w:tgtFrame="_blank" w:history="1">
        <w:r w:rsidR="00B376B5" w:rsidRPr="00B376B5">
          <w:rPr>
            <w:color w:val="0000FF"/>
            <w:u w:val="single"/>
          </w:rPr>
          <w:t>http://agone.org/revueago...</w:t>
        </w:r>
      </w:hyperlink>
    </w:p>
    <w:p w:rsidR="00DB5054" w:rsidRPr="00DB5054" w:rsidRDefault="00DB5054" w:rsidP="00DB5054">
      <w:pPr>
        <w:rPr>
          <w:rStyle w:val="gwt-inlinelabel"/>
        </w:rPr>
      </w:pPr>
      <w:r>
        <w:rPr>
          <w:rFonts w:eastAsia="Times New Roman" w:cs="Times New Roman"/>
          <w:b/>
          <w:sz w:val="28"/>
          <w:szCs w:val="28"/>
          <w:lang w:eastAsia="fr-FR"/>
        </w:rPr>
        <w:t>ISBN</w:t>
      </w:r>
      <w:r w:rsidRPr="00DB5054">
        <w:rPr>
          <w:rFonts w:eastAsia="Times New Roman" w:cs="Times New Roman"/>
          <w:b/>
          <w:sz w:val="28"/>
          <w:szCs w:val="28"/>
          <w:lang w:eastAsia="fr-FR"/>
        </w:rPr>
        <w:t>:</w:t>
      </w:r>
      <w:r w:rsidRPr="00B376B5">
        <w:rPr>
          <w:rFonts w:ascii="Arial" w:hAnsi="Arial" w:cs="Arial"/>
          <w:color w:val="666666"/>
          <w:sz w:val="20"/>
          <w:szCs w:val="20"/>
          <w:lang w:val="en-US"/>
        </w:rPr>
        <w:t> </w:t>
      </w:r>
      <w:r w:rsidRPr="00DB5054">
        <w:rPr>
          <w:rStyle w:val="gwt-inlinelabel"/>
        </w:rPr>
        <w:t>9782748902242</w:t>
      </w:r>
    </w:p>
    <w:p w:rsidR="003003BE" w:rsidRDefault="003003BE">
      <w:pPr>
        <w:rPr>
          <w:rStyle w:val="gwt-inlinelabel"/>
        </w:rPr>
      </w:pPr>
    </w:p>
    <w:p w:rsidR="003003BE" w:rsidRDefault="003003BE">
      <w:pPr>
        <w:rPr>
          <w:rStyle w:val="gwt-inlinelabel"/>
        </w:rPr>
      </w:pPr>
      <w:proofErr w:type="spellStart"/>
      <w:r w:rsidRPr="003003BE">
        <w:rPr>
          <w:rStyle w:val="gwt-inlinelabel"/>
          <w:b/>
          <w:sz w:val="24"/>
          <w:szCs w:val="24"/>
        </w:rPr>
        <w:t>Prodinra</w:t>
      </w:r>
      <w:proofErr w:type="spellEnd"/>
      <w:r w:rsidRPr="003003BE">
        <w:rPr>
          <w:rStyle w:val="gwt-inlinelabel"/>
          <w:b/>
          <w:sz w:val="24"/>
          <w:szCs w:val="24"/>
        </w:rPr>
        <w:t xml:space="preserve"> : </w:t>
      </w:r>
      <w:hyperlink r:id="rId5" w:history="1">
        <w:r w:rsidR="00B376B5" w:rsidRPr="00B376B5">
          <w:rPr>
            <w:color w:val="0000FF"/>
            <w:u w:val="single"/>
          </w:rPr>
          <w:t>http://prodinra.inra.fr/record/285852</w:t>
        </w:r>
      </w:hyperlink>
    </w:p>
    <w:p w:rsidR="003003BE" w:rsidRPr="00DB5054" w:rsidRDefault="003003BE">
      <w:r w:rsidRPr="00B376B5">
        <w:rPr>
          <w:rFonts w:eastAsia="Times New Roman" w:cs="Times New Roman"/>
          <w:b/>
          <w:sz w:val="24"/>
          <w:szCs w:val="24"/>
          <w:lang w:eastAsia="fr-FR"/>
        </w:rPr>
        <w:t xml:space="preserve">Auteur : </w:t>
      </w:r>
      <w:proofErr w:type="spellStart"/>
      <w:r w:rsidR="00B376B5" w:rsidRPr="00B376B5">
        <w:rPr>
          <w:b/>
        </w:rPr>
        <w:t>Mischi</w:t>
      </w:r>
      <w:proofErr w:type="gramStart"/>
      <w:r w:rsidR="00B376B5" w:rsidRPr="00B376B5">
        <w:rPr>
          <w:b/>
        </w:rPr>
        <w:t>,J</w:t>
      </w:r>
      <w:proofErr w:type="spellEnd"/>
      <w:proofErr w:type="gramEnd"/>
      <w:r w:rsidR="00B376B5" w:rsidRPr="00B376B5">
        <w:rPr>
          <w:b/>
        </w:rPr>
        <w:t xml:space="preserve">., </w:t>
      </w:r>
      <w:proofErr w:type="spellStart"/>
      <w:r w:rsidR="00B376B5" w:rsidRPr="00DB5054">
        <w:t>Penissat</w:t>
      </w:r>
      <w:proofErr w:type="spellEnd"/>
      <w:r w:rsidR="00B376B5" w:rsidRPr="00DB5054">
        <w:t>, E., Giraud, B.</w:t>
      </w:r>
      <w:r w:rsidR="00B376B5" w:rsidRPr="00B376B5">
        <w:rPr>
          <w:b/>
        </w:rPr>
        <w:t xml:space="preserve"> (2015)</w:t>
      </w:r>
      <w:r w:rsidR="00DB5054">
        <w:t xml:space="preserve">, </w:t>
      </w:r>
      <w:r w:rsidR="00DB5054" w:rsidRPr="00DB5054">
        <w:t>208 pages</w:t>
      </w:r>
      <w:bookmarkStart w:id="0" w:name="_GoBack"/>
      <w:bookmarkEnd w:id="0"/>
      <w:r w:rsidRPr="00B376B5">
        <w:br/>
      </w:r>
    </w:p>
    <w:p w:rsidR="003003BE" w:rsidRPr="00B376B5" w:rsidRDefault="00026DBB">
      <w:pPr>
        <w:rPr>
          <w:rFonts w:eastAsia="Times New Roman" w:cs="Times New Roman"/>
          <w:b/>
          <w:sz w:val="24"/>
          <w:szCs w:val="24"/>
          <w:lang w:eastAsia="fr-FR"/>
        </w:rPr>
      </w:pPr>
      <w:r w:rsidRPr="00B376B5">
        <w:rPr>
          <w:rFonts w:eastAsia="Times New Roman" w:cs="Times New Roman"/>
          <w:b/>
          <w:sz w:val="24"/>
          <w:szCs w:val="24"/>
          <w:lang w:eastAsia="fr-FR"/>
        </w:rPr>
        <w:t>Résumé:</w:t>
      </w:r>
      <w:r w:rsidR="003003BE" w:rsidRPr="00B376B5">
        <w:rPr>
          <w:rFonts w:eastAsia="Times New Roman" w:cs="Times New Roman"/>
          <w:b/>
          <w:sz w:val="24"/>
          <w:szCs w:val="24"/>
          <w:lang w:eastAsia="fr-FR"/>
        </w:rPr>
        <w:t xml:space="preserve"> </w:t>
      </w:r>
      <w:r w:rsidR="00B376B5">
        <w:t>La confiscation des protestations populaires et le détournement des luttes par les appareils militants sont des risques inhérents aux mobilisations collectives. La réflexion sur les dangers de la bureaucratisation est aussi vieille que le mouvement ouvrier lui-même, elle a accompagné la structuration du syndicalisme puis l’émergence des partis de masse au début du 20e siècle. L’enjeu de la dénaturation des mouvements sociaux dans les processus d'organisation et de représentation des intérêts des classes populaires reste d’une actualité brulante à l’issue des insurrections récentes du printemps arabe. Ce dossier vise à revenir sur la complexité des processus de bureaucratisation de l’action militante et de ses effets, tels qu’ils s’observent dans des univers militants très variés. Pour cela, le choix a été fait de privilégier des terrains d’enquête qui permettent de réinvestir la question de la domestication et de la bureaucratisation de l’action protestataire, sans en rester à une mise en cause univoque des directions partisanes et syndicales. Plutôt que l’étude des partis politiques et des dirigeants nationaux des mouvements sociaux, c’est donc l’étude des pratiques et des dilemmes de responsables militants locaux, issus d’horizons très divers (syndicaliste CGT, délégués de chaine, responsable associatif, responsable d'un Medef local, permanente syndicalistes femmes) qui a été privilégiée.</w:t>
      </w:r>
    </w:p>
    <w:sectPr w:rsidR="003003BE" w:rsidRPr="00B37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BE"/>
    <w:rsid w:val="00026DBB"/>
    <w:rsid w:val="0021094B"/>
    <w:rsid w:val="003003BE"/>
    <w:rsid w:val="00B376B5"/>
    <w:rsid w:val="00B56831"/>
    <w:rsid w:val="00DB5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73080-F47A-4328-A815-123E1962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wt-inlinelabel">
    <w:name w:val="gwt-inlinelabel"/>
    <w:basedOn w:val="Policepardfaut"/>
    <w:rsid w:val="003003BE"/>
  </w:style>
  <w:style w:type="character" w:styleId="Lienhypertexte">
    <w:name w:val="Hyperlink"/>
    <w:basedOn w:val="Policepardfaut"/>
    <w:uiPriority w:val="99"/>
    <w:unhideWhenUsed/>
    <w:rsid w:val="00300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dinra.inra.fr/record/285852" TargetMode="External"/><Relationship Id="rId4" Type="http://schemas.openxmlformats.org/officeDocument/2006/relationships/hyperlink" Target="http://agone.org/revueagone/agone5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macnoel</dc:creator>
  <cp:keywords/>
  <dc:description/>
  <cp:lastModifiedBy>macnoel</cp:lastModifiedBy>
  <cp:revision>3</cp:revision>
  <dcterms:created xsi:type="dcterms:W3CDTF">2015-07-23T11:28:00Z</dcterms:created>
  <dcterms:modified xsi:type="dcterms:W3CDTF">2015-07-23T11:30:00Z</dcterms:modified>
</cp:coreProperties>
</file>